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页面可以使用 Ctrl + F9 来插入域，域的所有变量请自行去百度， Alt + F9 就是还原</w:t>
      </w:r>
    </w:p>
    <w:p>
      <w:pPr>
        <w:rPr>
          <w:rFonts w:hint="eastAsia"/>
        </w:rPr>
      </w:pP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第一步：双击页脚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第二步：Ctrl+F9 插入域，对于有哪些域的使用，或者变量，可以去查一下百度，或者是在office里面的-》插入-》文档部件-》域，在这里可以看到全部的变量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第三步：Alt+F9 可以设置页码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 xml:space="preserve">    如：设置为：{PAGE} / {={ NUMPAGES}-</w:t>
      </w:r>
      <w:r>
        <w:rPr>
          <w:rFonts w:ascii="Consolas" w:hAnsi="Consolas" w:eastAsia="宋体" w:cs="宋体"/>
          <w:color w:val="008080"/>
          <w:kern w:val="0"/>
          <w:sz w:val="18"/>
          <w:szCs w:val="18"/>
        </w:rPr>
        <w:t>4</w:t>
      </w: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 xml:space="preserve">}   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 xml:space="preserve">    PAGE:表示当前页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 xml:space="preserve">    NUMPAGES:表示总的页数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 xml:space="preserve">    {={ NUMPAGES}-</w:t>
      </w:r>
      <w:r>
        <w:rPr>
          <w:rFonts w:ascii="Consolas" w:hAnsi="Consolas" w:eastAsia="宋体" w:cs="宋体"/>
          <w:color w:val="008080"/>
          <w:kern w:val="0"/>
          <w:sz w:val="18"/>
          <w:szCs w:val="18"/>
        </w:rPr>
        <w:t>4</w:t>
      </w: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} ：表示整个文档的页数减去</w:t>
      </w:r>
      <w:r>
        <w:rPr>
          <w:rFonts w:ascii="Consolas" w:hAnsi="Consolas" w:eastAsia="宋体" w:cs="宋体"/>
          <w:color w:val="008080"/>
          <w:kern w:val="0"/>
          <w:sz w:val="18"/>
          <w:szCs w:val="18"/>
        </w:rPr>
        <w:t>4</w:t>
      </w: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页</w:t>
      </w: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</w:p>
    <w:p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24292E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第三步：退出的话，还是Alt+F9退出，然后可以预览你设置的效果了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页眉仅仅支持简单的方式来定义，不支持使用额外的添加编辑框来实现。  </w:t>
      </w:r>
    </w:p>
    <w:p>
      <w:pPr>
        <w:rPr>
          <w:rFonts w:hint="eastAsia"/>
        </w:rPr>
      </w:pPr>
      <w:r>
        <w:rPr>
          <w:rFonts w:hint="eastAsia"/>
        </w:rPr>
        <w:t>如简单的方式：就是双击页眉，然后输入变量即可：ABC666，这里是指报告编码</w:t>
      </w:r>
    </w:p>
    <w:p>
      <w:pPr>
        <w:rPr>
          <w:rFonts w:hint="eastAsia"/>
        </w:rPr>
      </w:pPr>
    </w:p>
    <w:tbl>
      <w:tblPr>
        <w:tblStyle w:val="5"/>
        <w:tblW w:w="8675" w:type="dxa"/>
        <w:tblInd w:w="0" w:type="dxa"/>
        <w:tblBorders>
          <w:top w:val="single" w:color="D7D7D7" w:themeColor="background1" w:themeShade="D8" w:sz="4" w:space="0"/>
          <w:left w:val="single" w:color="D7D7D7" w:themeColor="background1" w:themeShade="D8" w:sz="4" w:space="0"/>
          <w:bottom w:val="single" w:color="D7D7D7" w:themeColor="background1" w:themeShade="D8" w:sz="4" w:space="0"/>
          <w:right w:val="single" w:color="D7D7D7" w:themeColor="background1" w:themeShade="D8" w:sz="4" w:space="0"/>
          <w:insideH w:val="single" w:color="D7D7D7" w:themeColor="background1" w:themeShade="D8" w:sz="4" w:space="0"/>
          <w:insideV w:val="single" w:color="D7D7D7" w:themeColor="background1" w:themeShade="D8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68"/>
        <w:gridCol w:w="1145"/>
        <w:gridCol w:w="11"/>
        <w:gridCol w:w="1134"/>
        <w:gridCol w:w="4095"/>
      </w:tblGrid>
      <w:tr>
        <w:trPr>
          <w:trHeight w:val="316" w:hRule="atLeast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基因</w:t>
            </w:r>
          </w:p>
        </w:tc>
        <w:tc>
          <w:tcPr>
            <w:tcW w:w="2224" w:type="dxa"/>
            <w:gridSpan w:val="3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检测结果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证据等级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变异解释</w:t>
            </w:r>
          </w:p>
        </w:tc>
      </w:tr>
      <w:tr>
        <w:trPr>
          <w:trHeight w:val="38" w:hRule="atLeast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EGFR 0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exon 21 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p.L858R 0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A 0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EGFR 基因 21 外显子第 858 位氨基酸由亮氨酸（L）替换成精氨酸（R）。 0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Borders>
          <w:top w:val="single" w:color="D7D7D7" w:themeColor="background1" w:themeShade="D8" w:sz="4" w:space="0"/>
          <w:left w:val="single" w:color="D7D7D7" w:themeColor="background1" w:themeShade="D8" w:sz="4" w:space="0"/>
          <w:bottom w:val="single" w:color="D7D7D7" w:themeColor="background1" w:themeShade="D8" w:sz="4" w:space="0"/>
          <w:right w:val="single" w:color="D7D7D7" w:themeColor="background1" w:themeShade="D8" w:sz="4" w:space="0"/>
          <w:insideH w:val="single" w:color="D7D7D7" w:themeColor="background1" w:themeShade="D8" w:sz="4" w:space="0"/>
          <w:insideV w:val="single" w:color="D7D7D7" w:themeColor="background1" w:themeShade="D8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9"/>
        <w:gridCol w:w="1438"/>
        <w:gridCol w:w="1438"/>
        <w:gridCol w:w="1493"/>
      </w:tblGrid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41" w:hRule="atLeast"/>
        </w:trPr>
        <w:tc>
          <w:tcPr>
            <w:tcW w:w="4315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本癌种/适应症获批药物</w:t>
            </w:r>
          </w:p>
        </w:tc>
        <w:tc>
          <w:tcPr>
            <w:tcW w:w="4369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其他癌种/适应症获批药物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41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药物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批准机构/指南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临床意义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药物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批准机构/指南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临床意义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FDA批准机构0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药物1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FDA批准机构1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临床意义1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FDA批准机构2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</w:tbl>
    <w:p>
      <w:pPr>
        <w:spacing w:after="0" w:line="240" w:lineRule="auto"/>
        <w:rPr>
          <w:lang w:eastAsia="zh-CN"/>
        </w:rPr>
      </w:pPr>
    </w:p>
    <w:p>
      <w:pPr>
        <w:spacing w:after="0" w:line="240" w:lineRule="auto"/>
        <w:rPr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基因描述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表皮生长因子受体(EGFR)属于受体酪氨酸激酶(RTKs)家族，包括 EGFR/ERBB1、HER2/ERBB2/NEU、HER3/ERBB3 和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HER4/ERBB4。配体的结合，如表皮生长因子(EGF)，诱导构象变化，促进受体 homo-或异质二聚体的形成，从而导致 EGFR 酪氨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酸激酶活性的激活。激活的 EGFR 将其底物磷酸化，导致细胞内多个下游通路的激活，包括参与细胞存活的 PI3K-AKT-mTOR 通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路和参与细胞增殖的 RAS-RAF-MEK-ERK 通路，从而引起肿瘤细胞的持续增殖。 0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</w:p>
    <w:p>
      <w:pPr>
        <w:spacing w:after="0" w:line="240" w:lineRule="auto"/>
        <w:rPr>
          <w:rFonts w:ascii="微软雅黑" w:hAnsi="微软雅黑" w:eastAsia="微软雅黑"/>
          <w:b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预后意义及治疗策略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研究显示，EGFR 基因扩增及突变，与单药免疫检查点抑制剂治疗后耐药、肿瘤超进展（hyperprogressive disease，HPD）有关。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10 位 EGFR 改变的患者，其中 8 位治疗失败时间（TTF）＜2 个月。2 位患者在免疫治疗后出现超进展，肿瘤大小分别增大 53.6%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和 125%，是治疗前的 35.7 倍和 41.7 倍【1.PMID: 28351930】。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目前已有多款靶向 EGFR 敏感性突变的药物获批用于临床。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药物简介&amp;试验回顾（注：仅回顾可能获益的本癌种已批药物）</w:t>
      </w: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0我说这是药物吉非替尼，你不信。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0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0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1我说这是药物吉非替尼，你不信。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1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1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2我说这是药物吉非替尼，你不信。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2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2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p>
      <w:pPr>
        <w:spacing w:after="0" w:line="240" w:lineRule="auto"/>
        <w:rPr>
          <w:lang w:eastAsia="zh-CN"/>
        </w:rPr>
      </w:pPr>
    </w:p>
    <w:tbl>
      <w:tblPr>
        <w:tblStyle w:val="5"/>
        <w:tblW w:w="8714" w:type="dxa"/>
        <w:tblInd w:w="0" w:type="dxa"/>
        <w:tblBorders>
          <w:top w:val="single" w:color="1CA08C" w:sz="4" w:space="0"/>
          <w:left w:val="single" w:color="1CA08C" w:sz="4" w:space="0"/>
          <w:bottom w:val="single" w:color="1CA08C" w:sz="4" w:space="0"/>
          <w:right w:val="single" w:color="1CA08C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8714"/>
      </w:tblGrid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3"/>
                <w:szCs w:val="15"/>
                <w:lang w:eastAsia="zh-CN"/>
              </w:rPr>
              <w:t>参考文献及资料：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0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1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2</w:t>
            </w:r>
          </w:p>
        </w:tc>
      </w:tr>
    </w:tbl>
    <w:p>
      <w:pPr>
        <w:spacing w:after="0" w:line="240" w:lineRule="auto"/>
        <w:rPr>
          <w:lang w:eastAsia="zh-CN"/>
        </w:rPr>
      </w:pPr>
    </w:p>
    <w:p>
      <w:pPr>
        <w:spacing w:after="0" w:line="240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5"/>
        <w:tblW w:w="8675" w:type="dxa"/>
        <w:tblInd w:w="0" w:type="dxa"/>
        <w:tblBorders>
          <w:top w:val="single" w:color="D7D7D7" w:themeColor="background1" w:themeShade="D8" w:sz="4" w:space="0"/>
          <w:left w:val="single" w:color="D7D7D7" w:themeColor="background1" w:themeShade="D8" w:sz="4" w:space="0"/>
          <w:bottom w:val="single" w:color="D7D7D7" w:themeColor="background1" w:themeShade="D8" w:sz="4" w:space="0"/>
          <w:right w:val="single" w:color="D7D7D7" w:themeColor="background1" w:themeShade="D8" w:sz="4" w:space="0"/>
          <w:insideH w:val="single" w:color="D7D7D7" w:themeColor="background1" w:themeShade="D8" w:sz="4" w:space="0"/>
          <w:insideV w:val="single" w:color="D7D7D7" w:themeColor="background1" w:themeShade="D8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68"/>
        <w:gridCol w:w="1145"/>
        <w:gridCol w:w="11"/>
        <w:gridCol w:w="1134"/>
        <w:gridCol w:w="4095"/>
      </w:tblGrid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316" w:hRule="atLeast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基因</w:t>
            </w:r>
          </w:p>
        </w:tc>
        <w:tc>
          <w:tcPr>
            <w:tcW w:w="2224" w:type="dxa"/>
            <w:gridSpan w:val="3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检测结果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证据等级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变异解释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38" w:hRule="atLeast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EGFR 1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exon 21 1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p.L858R 1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A 1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EGFR 基因 21 外显子第 858 位氨基酸由亮氨酸（L）替换成精氨酸（R）。 1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Borders>
          <w:top w:val="single" w:color="D7D7D7" w:themeColor="background1" w:themeShade="D8" w:sz="4" w:space="0"/>
          <w:left w:val="single" w:color="D7D7D7" w:themeColor="background1" w:themeShade="D8" w:sz="4" w:space="0"/>
          <w:bottom w:val="single" w:color="D7D7D7" w:themeColor="background1" w:themeShade="D8" w:sz="4" w:space="0"/>
          <w:right w:val="single" w:color="D7D7D7" w:themeColor="background1" w:themeShade="D8" w:sz="4" w:space="0"/>
          <w:insideH w:val="single" w:color="D7D7D7" w:themeColor="background1" w:themeShade="D8" w:sz="4" w:space="0"/>
          <w:insideV w:val="single" w:color="D7D7D7" w:themeColor="background1" w:themeShade="D8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9"/>
        <w:gridCol w:w="1438"/>
        <w:gridCol w:w="1438"/>
        <w:gridCol w:w="1493"/>
      </w:tblGrid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41" w:hRule="atLeast"/>
        </w:trPr>
        <w:tc>
          <w:tcPr>
            <w:tcW w:w="4315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本癌种/适应症获批药物</w:t>
            </w:r>
          </w:p>
        </w:tc>
        <w:tc>
          <w:tcPr>
            <w:tcW w:w="4369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其他癌种/适应症获批药物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41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药物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批准机构/指南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临床意义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药物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批准机构/指南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临床意义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FDA批准机构0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药物1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FDA批准机构1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临床意义1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FDA批准机构2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</w:tbl>
    <w:p>
      <w:pPr>
        <w:spacing w:after="0" w:line="240" w:lineRule="auto"/>
        <w:rPr>
          <w:lang w:eastAsia="zh-CN"/>
        </w:rPr>
      </w:pPr>
    </w:p>
    <w:p>
      <w:pPr>
        <w:spacing w:after="0" w:line="240" w:lineRule="auto"/>
        <w:rPr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基因描述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表皮生长因子受体(EGFR)属于受体酪氨酸激酶(RTKs)家族，包括 EGFR/ERBB1、HER2/ERBB2/NEU、HER3/ERBB3 和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HER4/ERBB4。配体的结合，如表皮生长因子(EGF)，诱导构象变化，促进受体 homo-或异质二聚体的形成，从而导致 EGFR 酪氨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酸激酶活性的激活。激活的 EGFR 将其底物磷酸化，导致细胞内多个下游通路的激活，包括参与细胞存活的 PI3K-AKT-mTOR 通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路和参与细胞增殖的 RAS-RAF-MEK-ERK 通路，从而引起肿瘤细胞的持续增殖。 1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</w:p>
    <w:p>
      <w:pPr>
        <w:spacing w:after="0" w:line="240" w:lineRule="auto"/>
        <w:rPr>
          <w:rFonts w:ascii="微软雅黑" w:hAnsi="微软雅黑" w:eastAsia="微软雅黑"/>
          <w:b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预后意义及治疗策略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研究显示，EGFR 基因扩增及突变，与单药免疫检查点抑制剂治疗后耐药、肿瘤超进展（hyperprogressive disease，HPD）有关。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10 位 EGFR 改变的患者，其中 8 位治疗失败时间（TTF）＜2 个月。2 位患者在免疫治疗后出现超进展，肿瘤大小分别增大 53.6%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和 125%，是治疗前的 35.7 倍和 41.7 倍【1.PMID: 28351930】。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目前已有多款靶向 EGFR 敏感性突变的药物获批用于临床。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药物简介&amp;试验回顾（注：仅回顾可能获益的本癌种已批药物）</w:t>
      </w: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0我说这是药物吉非替尼，你不信。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0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0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1我说这是药物吉非替尼，你不信。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1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1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2我说这是药物吉非替尼，你不信。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2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2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p>
      <w:pPr>
        <w:spacing w:after="0" w:line="240" w:lineRule="auto"/>
        <w:rPr>
          <w:lang w:eastAsia="zh-CN"/>
        </w:rPr>
      </w:pPr>
    </w:p>
    <w:tbl>
      <w:tblPr>
        <w:tblStyle w:val="5"/>
        <w:tblW w:w="8714" w:type="dxa"/>
        <w:tblInd w:w="0" w:type="dxa"/>
        <w:tblBorders>
          <w:top w:val="single" w:color="1CA08C" w:sz="4" w:space="0"/>
          <w:left w:val="single" w:color="1CA08C" w:sz="4" w:space="0"/>
          <w:bottom w:val="single" w:color="1CA08C" w:sz="4" w:space="0"/>
          <w:right w:val="single" w:color="1CA08C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8714"/>
      </w:tblGrid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3"/>
                <w:szCs w:val="15"/>
                <w:lang w:eastAsia="zh-CN"/>
              </w:rPr>
              <w:t>参考文献及资料：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0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1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2</w:t>
            </w:r>
          </w:p>
        </w:tc>
      </w:tr>
    </w:tbl>
    <w:p>
      <w:pPr>
        <w:spacing w:after="0" w:line="240" w:lineRule="auto"/>
        <w:rPr>
          <w:lang w:eastAsia="zh-CN"/>
        </w:rPr>
      </w:pPr>
    </w:p>
    <w:p>
      <w:pPr>
        <w:spacing w:after="0" w:line="240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5"/>
        <w:tblW w:w="8675" w:type="dxa"/>
        <w:tblInd w:w="0" w:type="dxa"/>
        <w:tblBorders>
          <w:top w:val="single" w:color="D7D7D7" w:themeColor="background1" w:themeShade="D8" w:sz="4" w:space="0"/>
          <w:left w:val="single" w:color="D7D7D7" w:themeColor="background1" w:themeShade="D8" w:sz="4" w:space="0"/>
          <w:bottom w:val="single" w:color="D7D7D7" w:themeColor="background1" w:themeShade="D8" w:sz="4" w:space="0"/>
          <w:right w:val="single" w:color="D7D7D7" w:themeColor="background1" w:themeShade="D8" w:sz="4" w:space="0"/>
          <w:insideH w:val="single" w:color="D7D7D7" w:themeColor="background1" w:themeShade="D8" w:sz="4" w:space="0"/>
          <w:insideV w:val="single" w:color="D7D7D7" w:themeColor="background1" w:themeShade="D8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68"/>
        <w:gridCol w:w="1145"/>
        <w:gridCol w:w="11"/>
        <w:gridCol w:w="1134"/>
        <w:gridCol w:w="4095"/>
      </w:tblGrid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316" w:hRule="atLeast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基因</w:t>
            </w:r>
          </w:p>
        </w:tc>
        <w:tc>
          <w:tcPr>
            <w:tcW w:w="2224" w:type="dxa"/>
            <w:gridSpan w:val="3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检测结果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证据等级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1CA08C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sz w:val="15"/>
                <w:szCs w:val="15"/>
                <w:lang w:eastAsia="zh-CN"/>
              </w:rPr>
              <w:t>变异解释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38" w:hRule="atLeast"/>
        </w:trPr>
        <w:tc>
          <w:tcPr>
            <w:tcW w:w="12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EGFR 2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exon 21 2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p.L858R 2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A 2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eastAsia="zh-CN"/>
              </w:rPr>
              <w:t>EGFR 基因 21 外显子第 858 位氨基酸由亮氨酸（L）替换成精氨酸（R）。 2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Borders>
          <w:top w:val="single" w:color="D7D7D7" w:themeColor="background1" w:themeShade="D8" w:sz="4" w:space="0"/>
          <w:left w:val="single" w:color="D7D7D7" w:themeColor="background1" w:themeShade="D8" w:sz="4" w:space="0"/>
          <w:bottom w:val="single" w:color="D7D7D7" w:themeColor="background1" w:themeShade="D8" w:sz="4" w:space="0"/>
          <w:right w:val="single" w:color="D7D7D7" w:themeColor="background1" w:themeShade="D8" w:sz="4" w:space="0"/>
          <w:insideH w:val="single" w:color="D7D7D7" w:themeColor="background1" w:themeShade="D8" w:sz="4" w:space="0"/>
          <w:insideV w:val="single" w:color="D7D7D7" w:themeColor="background1" w:themeShade="D8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9"/>
        <w:gridCol w:w="1438"/>
        <w:gridCol w:w="1438"/>
        <w:gridCol w:w="1493"/>
      </w:tblGrid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41" w:hRule="atLeast"/>
        </w:trPr>
        <w:tc>
          <w:tcPr>
            <w:tcW w:w="4315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本癌种/适应症获批药物</w:t>
            </w:r>
          </w:p>
        </w:tc>
        <w:tc>
          <w:tcPr>
            <w:tcW w:w="4369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其他癌种/适应症获批药物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41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药物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批准机构/指南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临床意义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药物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批准机构/指南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5"/>
                <w:szCs w:val="15"/>
                <w:lang w:eastAsia="zh-CN"/>
              </w:rPr>
              <w:t>临床意义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FDA批准机构0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药物1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FDA批准机构1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临床意义1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  <w:tr>
        <w:tblPrEx>
          <w:tblBorders>
            <w:top w:val="single" w:color="D7D7D7" w:themeColor="background1" w:themeShade="D8" w:sz="4" w:space="0"/>
            <w:left w:val="single" w:color="D7D7D7" w:themeColor="background1" w:themeShade="D8" w:sz="4" w:space="0"/>
            <w:bottom w:val="single" w:color="D7D7D7" w:themeColor="background1" w:themeShade="D8" w:sz="4" w:space="0"/>
            <w:right w:val="single" w:color="D7D7D7" w:themeColor="background1" w:themeShade="D8" w:sz="4" w:space="0"/>
            <w:insideH w:val="single" w:color="D7D7D7" w:themeColor="background1" w:themeShade="D8" w:sz="4" w:space="0"/>
            <w:insideV w:val="single" w:color="D7D7D7" w:themeColor="background1" w:themeShade="D8" w:sz="4" w:space="0"/>
          </w:tblBorders>
        </w:tblPrEx>
        <w:trPr>
          <w:trHeight w:val="250" w:hRule="atLeast"/>
        </w:trPr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药物2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FDA批准机构2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临床意义2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>-</w:t>
            </w:r>
          </w:p>
        </w:tc>
      </w:tr>
    </w:tbl>
    <w:p>
      <w:pPr>
        <w:spacing w:after="0" w:line="240" w:lineRule="auto"/>
        <w:rPr>
          <w:lang w:eastAsia="zh-CN"/>
        </w:rPr>
      </w:pPr>
    </w:p>
    <w:p>
      <w:pPr>
        <w:spacing w:after="0" w:line="240" w:lineRule="auto"/>
        <w:rPr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基因描述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表皮生长因子受体(EGFR)属于受体酪氨酸激酶(RTKs)家族，包括 EGFR/ERBB1、HER2/ERBB2/NEU、HER3/ERBB3 和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HER4/ERBB4。配体的结合，如表皮生长因子(EGF)，诱导构象变化，促进受体 homo-或异质二聚体的形成，从而导致 EGFR 酪氨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酸激酶活性的激活。激活的 EGFR 将其底物磷酸化，导致细胞内多个下游通路的激活，包括参与细胞存活的 PI3K-AKT-mTOR 通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路和参与细胞增殖的 RAS-RAF-MEK-ERK 通路，从而引起肿瘤细胞的持续增殖。 2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</w:p>
    <w:p>
      <w:pPr>
        <w:spacing w:after="0" w:line="240" w:lineRule="auto"/>
        <w:rPr>
          <w:rFonts w:ascii="微软雅黑" w:hAnsi="微软雅黑" w:eastAsia="微软雅黑"/>
          <w:b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预后意义及治疗策略</w:t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研究显示，EGFR 基因扩增及突变，与单药免疫检查点抑制剂治疗后耐药、肿瘤超进展（hyperprogressive disease，HPD）有关。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10 位 EGFR 改变的患者，其中 8 位治疗失败时间（TTF）＜2 个月。2 位患者在免疫治疗后出现超进展，肿瘤大小分别增大 53.6%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和 125%，是治疗前的 35.7 倍和 41.7 倍【1.PMID: 28351930】。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t>目前已有多款靶向 EGFR 敏感性突变的药物获批用于临床。</w:t>
      </w:r>
      <w:r>
        <w:rPr>
          <w:rFonts w:hint="eastAsia" w:ascii="微软雅黑" w:hAnsi="微软雅黑" w:eastAsia="微软雅黑" w:cs="等线"/>
          <w:bCs/>
          <w:sz w:val="15"/>
          <w:szCs w:val="15"/>
          <w:lang w:eastAsia="zh-CN"/>
        </w:rPr>
        <w:cr/>
      </w:r>
    </w:p>
    <w:p>
      <w:pPr>
        <w:spacing w:after="0" w:line="240" w:lineRule="auto"/>
        <w:rPr>
          <w:rFonts w:ascii="微软雅黑" w:hAnsi="微软雅黑" w:eastAsia="微软雅黑" w:cs="等线"/>
          <w:bCs/>
          <w:sz w:val="15"/>
          <w:szCs w:val="15"/>
          <w:lang w:eastAsia="zh-CN"/>
        </w:rPr>
      </w:pPr>
      <w:r>
        <w:rPr>
          <w:rFonts w:hint="eastAsia" w:ascii="微软雅黑" w:hAnsi="微软雅黑" w:eastAsia="微软雅黑"/>
          <w:b/>
          <w:bCs/>
          <w:sz w:val="15"/>
          <w:szCs w:val="15"/>
          <w:lang w:eastAsia="zh-CN"/>
        </w:rPr>
        <w:t>药物简介&amp;试验回顾（注：仅回顾可能获益的本癌种已批药物）</w:t>
      </w: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0我说这是药物吉非替尼，你不信。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0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0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1我说这是药物吉非替尼，你不信。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1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1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tbl>
      <w:tblPr>
        <w:tblStyle w:val="5"/>
        <w:tblW w:w="868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>
        <w:trPr>
          <w:trHeight w:val="269" w:hRule="atLeast"/>
        </w:trPr>
        <w:tc>
          <w:tcPr>
            <w:tcW w:w="8684" w:type="dxa"/>
            <w:tcBorders>
              <w:top w:val="single" w:color="D7D7D7" w:sz="4" w:space="0"/>
              <w:bottom w:val="single" w:color="D7D7D7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药物：</w:t>
            </w:r>
            <w:r>
              <w:rPr>
                <w:rFonts w:ascii="微软雅黑" w:hAnsi="微软雅黑" w:eastAsia="微软雅黑" w:cs="微软雅黑"/>
                <w:b/>
                <w:color w:val="auto"/>
                <w:sz w:val="14"/>
                <w:u w:val="none"/>
              </w:rPr>
              <w:t>2我说这是药物吉非替尼，你不信。</w:t>
            </w:r>
          </w:p>
        </w:tc>
      </w:tr>
      <w:tr>
        <w:tc>
          <w:tcPr>
            <w:tcW w:w="8684" w:type="dxa"/>
            <w:tcBorders>
              <w:top w:val="single" w:color="D7D7D7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药物描述：</w:t>
            </w:r>
          </w:p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2我说这是药物描述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  <w:tr>
        <w:trPr>
          <w:trHeight w:val="271" w:hRule="atLeast"/>
        </w:trPr>
        <w:tc>
          <w:tcPr>
            <w:tcW w:w="8684" w:type="dxa"/>
            <w:shd w:val="clear" w:color="auto" w:fill="auto"/>
          </w:tcPr>
          <w:p>
            <w:pPr>
              <w:spacing w:after="0" w:line="240" w:lineRule="auto"/>
              <w:rPr>
                <w:rFonts w:ascii="微软雅黑" w:hAnsi="微软雅黑" w:eastAsia="微软雅黑" w:cs="等线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/>
                <w:sz w:val="15"/>
                <w:szCs w:val="15"/>
                <w:lang w:eastAsia="zh-CN"/>
              </w:rPr>
              <w:t>试验回顾：</w:t>
            </w:r>
          </w:p>
          <w:p>
            <w:pPr>
              <w:spacing w:after="0" w:line="240" w:lineRule="auto"/>
              <w:rPr>
                <w:rFonts w:ascii="微软雅黑" w:hAnsi="微软雅黑" w:eastAsia="微软雅黑" w:cs="等线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等线"/>
                <w:bCs/>
                <w:sz w:val="15"/>
                <w:szCs w:val="15"/>
                <w:lang w:eastAsia="zh-CN"/>
              </w:rPr>
              <w:t xml:space="preserve">2我说这是试验回顾，你不信。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明天大涨，梭哈！ </w:t>
            </w:r>
          </w:p>
        </w:tc>
      </w:tr>
    </w:tbl>
    <w:p>
      <w:pPr>
        <w:tabs>
          <w:tab w:val="left" w:pos="585"/>
        </w:tabs>
        <w:spacing w:after="0" w:line="240" w:lineRule="auto"/>
        <w:rPr>
          <w:rFonts w:ascii="宋体" w:hAnsi="宋体" w:cs="黑体"/>
          <w:sz w:val="15"/>
          <w:szCs w:val="15"/>
          <w:lang w:eastAsia="zh-CN"/>
        </w:rPr>
      </w:pPr>
    </w:p>
    <w:p>
      <w:pPr>
        <w:spacing w:after="0" w:line="240" w:lineRule="auto"/>
        <w:rPr>
          <w:lang w:eastAsia="zh-CN"/>
        </w:rPr>
      </w:pPr>
    </w:p>
    <w:tbl>
      <w:tblPr>
        <w:tblStyle w:val="5"/>
        <w:tblW w:w="8714" w:type="dxa"/>
        <w:tblInd w:w="0" w:type="dxa"/>
        <w:tblBorders>
          <w:top w:val="single" w:color="1CA08C" w:sz="4" w:space="0"/>
          <w:left w:val="single" w:color="1CA08C" w:sz="4" w:space="0"/>
          <w:bottom w:val="single" w:color="1CA08C" w:sz="4" w:space="0"/>
          <w:right w:val="single" w:color="1CA08C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8714"/>
      </w:tblGrid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微软雅黑" w:hAnsi="微软雅黑" w:eastAsia="微软雅黑"/>
                <w:b/>
                <w:bCs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3"/>
                <w:szCs w:val="15"/>
                <w:lang w:eastAsia="zh-CN"/>
              </w:rPr>
              <w:t>参考文献及资料：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0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1</w:t>
            </w:r>
          </w:p>
        </w:tc>
      </w:tr>
      <w:tr>
        <w:tblPrEx>
          <w:tblBorders>
            <w:top w:val="single" w:color="1CA08C" w:sz="4" w:space="0"/>
            <w:left w:val="single" w:color="1CA08C" w:sz="4" w:space="0"/>
            <w:bottom w:val="single" w:color="1CA08C" w:sz="4" w:space="0"/>
            <w:right w:val="single" w:color="1CA08C" w:sz="4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</w:trPr>
        <w:tc>
          <w:tcPr>
            <w:tcW w:w="87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13"/>
                <w:szCs w:val="15"/>
                <w:lang w:eastAsia="zh-CN"/>
              </w:rPr>
              <w:t>文献内容 2</w:t>
            </w:r>
          </w:p>
        </w:tc>
      </w:tr>
    </w:tbl>
    <w:p>
      <w:pPr>
        <w:spacing w:after="0" w:line="240" w:lineRule="auto"/>
        <w:rPr>
          <w:lang w:eastAsia="zh-CN"/>
        </w:rPr>
      </w:pPr>
    </w:p>
    <w:p>
      <w:pPr>
        <w:spacing w:after="0" w:line="240" w:lineRule="auto"/>
        <w:rPr>
          <w:rFonts w:hint="default"/>
          <w:lang w:eastAsia="zh-CN"/>
        </w:rPr>
      </w:pPr>
      <w:r>
        <w:rPr>
          <w:lang w:eastAsia="zh-CN"/>
        </w:rPr>
        <w:br w:type="page"/>
      </w:r>
      <w:bookmarkStart w:id="0" w:name="_GoBack"/>
      <w:r>
        <w:rPr>
          <w:rFonts w:hint="default"/>
          <w:lang w:eastAsia="zh-CN"/>
        </w:rPr>
        <w:drawing>
          <wp:inline distT="0" distB="0" distL="114300" distR="114300">
            <wp:extent cx="5267325" cy="5218430"/>
            <wp:effectExtent l="0" t="0" r="15875" b="13970"/>
            <wp:docPr id="1" name="图片 1" descr="IMG_20190403_18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90403_1854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</w:instrText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 xml:space="preserve"> / </w:t>
    </w:r>
    <w:r>
      <w:fldChar w:fldCharType="begin"/>
    </w:r>
    <w:r>
      <w:instrText xml:space="preserve"> </w:instrText>
    </w:r>
    <w:r>
      <w:rPr>
        <w:rFonts w:hint="eastAsia"/>
      </w:rPr>
      <w:instrText xml:space="preserve">NUMPAGES</w:instrText>
    </w:r>
    <w:r>
      <w:instrText xml:space="preserve">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color w:val="FF0000"/>
      </w:rPr>
    </w:pPr>
    <w:r>
      <w:rPr>
        <w:rFonts w:hint="eastAsia"/>
        <w:color w:val="FF0000"/>
      </w:rPr>
      <w:t>这里可以放页尾呢 报告编号：ABC666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E787"/>
    <w:multiLevelType w:val="multilevel"/>
    <w:tmpl w:val="BFF6E7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5FF3737"/>
    <w:multiLevelType w:val="multilevel"/>
    <w:tmpl w:val="D5FF37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DD6C1817"/>
    <w:multiLevelType w:val="multilevel"/>
    <w:tmpl w:val="DD6C18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71"/>
    <w:rsid w:val="000D4402"/>
    <w:rsid w:val="00283371"/>
    <w:rsid w:val="002B7EED"/>
    <w:rsid w:val="003F062D"/>
    <w:rsid w:val="00554BAC"/>
    <w:rsid w:val="00656AFF"/>
    <w:rsid w:val="00767823"/>
    <w:rsid w:val="00826911"/>
    <w:rsid w:val="009772CC"/>
    <w:rsid w:val="00A04870"/>
    <w:rsid w:val="00A32E85"/>
    <w:rsid w:val="00A51A98"/>
    <w:rsid w:val="00AB130E"/>
    <w:rsid w:val="00AD73A1"/>
    <w:rsid w:val="00AF2F02"/>
    <w:rsid w:val="00B63DB2"/>
    <w:rsid w:val="00E15C77"/>
    <w:rsid w:val="00F575CE"/>
    <w:rsid w:val="00FF20A5"/>
    <w:rsid w:val="2FB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8327" w:sz="2" w:space="0"/>
        <w:left w:val="single" w:color="FF8327" w:sz="2" w:space="0"/>
        <w:bottom w:val="single" w:color="FF8327" w:sz="2" w:space="0"/>
        <w:right w:val="single" w:color="FF8327" w:sz="2" w:space="0"/>
        <w:insideH w:val="single" w:color="FF8327" w:sz="2" w:space="0"/>
        <w:insideV w:val="single" w:color="FF8327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styleId="8">
    <w:name w:val="HTML Code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hljs-number"/>
    <w:basedOn w:val="7"/>
    <w:qFormat/>
    <w:uiPriority w:val="0"/>
  </w:style>
  <w:style w:type="character" w:customStyle="1" w:styleId="13">
    <w:name w:val="页眉 Char1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1"/>
    <w:basedOn w:val="7"/>
    <w:link w:val="2"/>
    <w:qFormat/>
    <w:uiPriority w:val="99"/>
    <w:rPr>
      <w:sz w:val="18"/>
      <w:szCs w:val="18"/>
    </w:rPr>
  </w:style>
  <w:style w:type="character" w:customStyle="1" w:styleId="15">
    <w:name w:val="页眉 Char2"/>
    <w:basedOn w:val="7"/>
    <w:link w:val="3"/>
    <w:qFormat/>
    <w:uiPriority w:val="99"/>
    <w:rPr>
      <w:sz w:val="18"/>
      <w:szCs w:val="18"/>
    </w:rPr>
  </w:style>
  <w:style w:type="character" w:customStyle="1" w:styleId="16">
    <w:name w:val="页脚 Char2"/>
    <w:basedOn w:val="7"/>
    <w:link w:val="2"/>
    <w:qFormat/>
    <w:uiPriority w:val="99"/>
    <w:rPr>
      <w:sz w:val="18"/>
      <w:szCs w:val="18"/>
    </w:rPr>
  </w:style>
  <w:style w:type="character" w:customStyle="1" w:styleId="17">
    <w:name w:val="页眉 Char3"/>
    <w:basedOn w:val="7"/>
    <w:link w:val="3"/>
    <w:qFormat/>
    <w:uiPriority w:val="99"/>
    <w:rPr>
      <w:sz w:val="18"/>
      <w:szCs w:val="18"/>
    </w:rPr>
  </w:style>
  <w:style w:type="character" w:customStyle="1" w:styleId="18">
    <w:name w:val="页脚 Char3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350</Characters>
  <Lines>2</Lines>
  <Paragraphs>1</Paragraphs>
  <TotalTime>16</TotalTime>
  <ScaleCrop>false</ScaleCrop>
  <LinksUpToDate>false</LinksUpToDate>
  <CharactersWithSpaces>410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2020-11-30T14:05:00Z</dcterms:created>
  <dc:creator>Windows 用户</dc:creator>
  <cp:lastModifiedBy>Adam2019</cp:lastModifiedBy>
  <dcterms:modified xsi:type="dcterms:W3CDTF">2024-08-09T15:15:22Z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B0BC1DF2995E86A60AC2B5661905DA47_42</vt:lpwstr>
  </property>
</Properties>
</file>